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DC4B" w14:textId="5AA97F56" w:rsidR="00A42E95" w:rsidRDefault="00A42E95">
      <w:r w:rsidRPr="00A42E95">
        <w:t>En BRAVANTE SA respetamos la privacidad de los usuarios y protegemos la información personal que se proporciona de forma voluntaria a través de este sitio web. Los datos recabados, se utilizan únicamente para atender solicitudes, brindar información, mejorar nuestros servicios y cumplir obligaciones legales en Guatemala. No vendemos ni compartimos datos personales, salvo con proveedores autorizados o por requerimiento legal. El uso del sitio implica la aceptación de esta política.</w:t>
      </w:r>
    </w:p>
    <w:sectPr w:rsidR="00A42E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95"/>
    <w:rsid w:val="00A42E95"/>
    <w:rsid w:val="00C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5307D"/>
  <w15:chartTrackingRefBased/>
  <w15:docId w15:val="{F1B2E09B-CA62-8146-9D62-68CD9D08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Zamudio</dc:creator>
  <cp:keywords/>
  <dc:description/>
  <cp:lastModifiedBy>Abraham Zamudio</cp:lastModifiedBy>
  <cp:revision>1</cp:revision>
  <dcterms:created xsi:type="dcterms:W3CDTF">2025-12-22T03:15:00Z</dcterms:created>
  <dcterms:modified xsi:type="dcterms:W3CDTF">2025-12-22T03:15:00Z</dcterms:modified>
</cp:coreProperties>
</file>